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2655" w14:textId="77777777" w:rsidR="00B06C9D" w:rsidRPr="00D20F89" w:rsidRDefault="00B06C9D" w:rsidP="00B06C9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20F89">
        <w:rPr>
          <w:rFonts w:asciiTheme="minorHAnsi" w:hAnsiTheme="minorHAnsi" w:cstheme="minorHAnsi"/>
          <w:b/>
        </w:rPr>
        <w:t xml:space="preserve">Základné parametre výzvy v rámci Programu rozvoja vidieka SR 2014 – 2020 (PRV) </w:t>
      </w:r>
    </w:p>
    <w:p w14:paraId="2DEE5CC7" w14:textId="77777777" w:rsidR="00B06C9D" w:rsidRPr="00D20F89" w:rsidRDefault="00B06C9D" w:rsidP="00B06C9D">
      <w:pPr>
        <w:spacing w:line="276" w:lineRule="auto"/>
        <w:jc w:val="center"/>
        <w:rPr>
          <w:sz w:val="18"/>
          <w:szCs w:val="18"/>
        </w:rPr>
      </w:pPr>
    </w:p>
    <w:p w14:paraId="2C6A063A" w14:textId="77777777" w:rsidR="00B06C9D" w:rsidRPr="00D20F89" w:rsidRDefault="00B06C9D" w:rsidP="00B06C9D">
      <w:pPr>
        <w:pStyle w:val="TextBodyIndent"/>
        <w:spacing w:line="276" w:lineRule="auto"/>
        <w:ind w:left="2126" w:hanging="2126"/>
        <w:rPr>
          <w:rFonts w:asciiTheme="minorHAnsi" w:hAnsiTheme="minorHAnsi"/>
          <w:sz w:val="18"/>
          <w:szCs w:val="18"/>
        </w:rPr>
      </w:pPr>
      <w:proofErr w:type="spellStart"/>
      <w:r w:rsidRPr="00D20F89">
        <w:rPr>
          <w:rFonts w:asciiTheme="minorHAnsi" w:hAnsiTheme="minorHAnsi"/>
          <w:sz w:val="18"/>
          <w:szCs w:val="18"/>
        </w:rPr>
        <w:t>pre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opatrenie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: </w:t>
      </w:r>
      <w:r w:rsidRPr="00D20F89">
        <w:rPr>
          <w:rFonts w:asciiTheme="minorHAnsi" w:hAnsiTheme="minorHAnsi"/>
          <w:sz w:val="18"/>
          <w:szCs w:val="18"/>
        </w:rPr>
        <w:tab/>
        <w:t xml:space="preserve">4 – </w:t>
      </w:r>
      <w:proofErr w:type="spellStart"/>
      <w:r w:rsidRPr="00D20F89">
        <w:rPr>
          <w:rFonts w:asciiTheme="minorHAnsi" w:hAnsiTheme="minorHAnsi"/>
          <w:sz w:val="18"/>
          <w:szCs w:val="18"/>
        </w:rPr>
        <w:t>Investície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do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hmotného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majetku</w:t>
      </w:r>
      <w:proofErr w:type="spellEnd"/>
    </w:p>
    <w:p w14:paraId="78F8D0F3" w14:textId="2C482F93" w:rsidR="00B06C9D" w:rsidRPr="00D20F89" w:rsidRDefault="00B06C9D" w:rsidP="00B06C9D">
      <w:pPr>
        <w:pStyle w:val="TextBodyIndent"/>
        <w:spacing w:line="276" w:lineRule="auto"/>
        <w:ind w:left="2126" w:hanging="2126"/>
        <w:rPr>
          <w:rFonts w:asciiTheme="minorHAnsi" w:hAnsiTheme="minorHAnsi"/>
          <w:sz w:val="18"/>
          <w:szCs w:val="18"/>
        </w:rPr>
      </w:pPr>
      <w:proofErr w:type="spellStart"/>
      <w:r w:rsidRPr="00D20F89">
        <w:rPr>
          <w:rFonts w:asciiTheme="minorHAnsi" w:hAnsiTheme="minorHAnsi"/>
          <w:sz w:val="18"/>
          <w:szCs w:val="18"/>
        </w:rPr>
        <w:t>podopatrenie</w:t>
      </w:r>
      <w:proofErr w:type="spellEnd"/>
      <w:r w:rsidRPr="00D20F89">
        <w:rPr>
          <w:rFonts w:asciiTheme="minorHAnsi" w:hAnsiTheme="minorHAnsi"/>
          <w:sz w:val="18"/>
          <w:szCs w:val="18"/>
        </w:rPr>
        <w:t>:</w:t>
      </w:r>
      <w:r w:rsidRPr="00D20F89">
        <w:rPr>
          <w:rFonts w:asciiTheme="minorHAnsi" w:hAnsiTheme="minorHAnsi"/>
          <w:sz w:val="18"/>
          <w:szCs w:val="18"/>
        </w:rPr>
        <w:tab/>
        <w:t xml:space="preserve">4.1 – </w:t>
      </w:r>
      <w:proofErr w:type="spellStart"/>
      <w:r w:rsidRPr="00D20F89">
        <w:rPr>
          <w:rFonts w:asciiTheme="minorHAnsi" w:hAnsiTheme="minorHAnsi"/>
          <w:sz w:val="18"/>
          <w:szCs w:val="18"/>
        </w:rPr>
        <w:t>Podpora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na </w:t>
      </w:r>
      <w:proofErr w:type="spellStart"/>
      <w:r w:rsidRPr="00D20F89">
        <w:rPr>
          <w:rFonts w:asciiTheme="minorHAnsi" w:hAnsiTheme="minorHAnsi"/>
          <w:sz w:val="18"/>
          <w:szCs w:val="18"/>
        </w:rPr>
        <w:t>investície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do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poľnohospodárskych</w:t>
      </w:r>
      <w:proofErr w:type="spellEnd"/>
      <w:r w:rsidRPr="00D20F8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0F89">
        <w:rPr>
          <w:rFonts w:asciiTheme="minorHAnsi" w:hAnsiTheme="minorHAnsi"/>
          <w:sz w:val="18"/>
          <w:szCs w:val="18"/>
        </w:rPr>
        <w:t>podnikov</w:t>
      </w:r>
      <w:proofErr w:type="spellEnd"/>
    </w:p>
    <w:p w14:paraId="50B1BAD7" w14:textId="77777777" w:rsidR="00B06C9D" w:rsidRPr="00D20F89" w:rsidRDefault="00B06C9D" w:rsidP="00B06C9D">
      <w:pPr>
        <w:pStyle w:val="Cmsor2"/>
        <w:spacing w:before="0" w:line="276" w:lineRule="auto"/>
        <w:jc w:val="both"/>
        <w:rPr>
          <w:sz w:val="18"/>
          <w:szCs w:val="18"/>
        </w:rPr>
      </w:pPr>
    </w:p>
    <w:p w14:paraId="1542B818" w14:textId="10D4D9BC" w:rsidR="00B06C9D" w:rsidRPr="00D20F89" w:rsidRDefault="00B06C9D" w:rsidP="00B06C9D">
      <w:pPr>
        <w:pStyle w:val="Cmsor2"/>
        <w:spacing w:before="0" w:line="276" w:lineRule="auto"/>
        <w:jc w:val="both"/>
        <w:rPr>
          <w:sz w:val="18"/>
          <w:szCs w:val="18"/>
        </w:rPr>
      </w:pPr>
      <w:r w:rsidRPr="00D20F89">
        <w:rPr>
          <w:sz w:val="18"/>
          <w:szCs w:val="18"/>
        </w:rPr>
        <w:t>Výška Oprávnených výdavkov na jedného žiadateľa</w:t>
      </w:r>
    </w:p>
    <w:p w14:paraId="3B9D3E6C" w14:textId="77777777" w:rsidR="00B06C9D" w:rsidRPr="00D20F89" w:rsidRDefault="00B06C9D" w:rsidP="00B06C9D">
      <w:pPr>
        <w:tabs>
          <w:tab w:val="left" w:pos="289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Minimálna výška oprávnených výdavkov pre všetky oblasti: 10 000,00 EUR</w:t>
      </w:r>
    </w:p>
    <w:p w14:paraId="6781A7DD" w14:textId="77777777" w:rsidR="00B06C9D" w:rsidRPr="00D20F89" w:rsidRDefault="00B06C9D" w:rsidP="00B06C9D">
      <w:pPr>
        <w:tabs>
          <w:tab w:val="left" w:pos="289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Maximálna výška oprávnených výdavkov podľa oblastí:</w:t>
      </w:r>
    </w:p>
    <w:p w14:paraId="7411A78B" w14:textId="0CDC82D0" w:rsidR="00B06C9D" w:rsidRPr="00D20F89" w:rsidRDefault="00B06C9D" w:rsidP="00B06C9D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20F89">
        <w:rPr>
          <w:rFonts w:asciiTheme="minorHAnsi" w:hAnsiTheme="minorHAnsi"/>
          <w:sz w:val="18"/>
          <w:szCs w:val="18"/>
        </w:rPr>
        <w:t>ŠRV a ŽV</w:t>
      </w:r>
      <w:r w:rsidRPr="00D20F89">
        <w:rPr>
          <w:rFonts w:asciiTheme="minorHAnsi" w:hAnsiTheme="minorHAnsi"/>
          <w:sz w:val="18"/>
          <w:szCs w:val="18"/>
        </w:rPr>
        <w:tab/>
      </w:r>
      <w:r w:rsidRPr="00D20F89">
        <w:rPr>
          <w:rFonts w:asciiTheme="minorHAnsi" w:hAnsiTheme="minorHAnsi"/>
          <w:sz w:val="18"/>
          <w:szCs w:val="18"/>
        </w:rPr>
        <w:tab/>
      </w:r>
      <w:r w:rsidRPr="00D20F89">
        <w:rPr>
          <w:rFonts w:asciiTheme="minorHAnsi" w:hAnsiTheme="minorHAnsi"/>
          <w:sz w:val="18"/>
          <w:szCs w:val="18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  <w:t>2 000 000,00 EUR</w:t>
      </w:r>
    </w:p>
    <w:p w14:paraId="3C36A8A0" w14:textId="52E3EBDE" w:rsidR="00B06C9D" w:rsidRPr="00D20F89" w:rsidRDefault="00B06C9D" w:rsidP="00B06C9D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20F89">
        <w:rPr>
          <w:rFonts w:asciiTheme="minorHAnsi" w:hAnsiTheme="minorHAnsi"/>
          <w:sz w:val="18"/>
          <w:szCs w:val="18"/>
        </w:rPr>
        <w:t>ŠRV</w:t>
      </w:r>
      <w:r w:rsidR="002A69A5" w:rsidRPr="00D20F89">
        <w:rPr>
          <w:rFonts w:asciiTheme="minorHAnsi" w:hAnsiTheme="minorHAnsi"/>
          <w:sz w:val="18"/>
          <w:szCs w:val="18"/>
        </w:rPr>
        <w:t xml:space="preserve"> a ŽV</w:t>
      </w:r>
      <w:r w:rsidRPr="00D20F89">
        <w:rPr>
          <w:rFonts w:asciiTheme="minorHAnsi" w:hAnsiTheme="minorHAnsi"/>
          <w:sz w:val="18"/>
          <w:szCs w:val="18"/>
        </w:rPr>
        <w:t xml:space="preserve"> - malí poľnohospodári</w:t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  <w:t xml:space="preserve">   400 000,00 EUR</w:t>
      </w:r>
    </w:p>
    <w:p w14:paraId="64B4687B" w14:textId="77777777" w:rsidR="00B06C9D" w:rsidRPr="00D20F89" w:rsidRDefault="00B06C9D" w:rsidP="00B06C9D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20F89">
        <w:rPr>
          <w:rFonts w:ascii="Calibri" w:eastAsia="Calibri" w:hAnsi="Calibri" w:cs="Calibri"/>
          <w:sz w:val="18"/>
          <w:szCs w:val="18"/>
          <w:lang w:eastAsia="en-US"/>
        </w:rPr>
        <w:t>Skladovacie kapacity</w:t>
      </w:r>
      <w:r w:rsidRPr="00D20F89">
        <w:rPr>
          <w:rFonts w:asciiTheme="minorHAnsi" w:hAnsiTheme="minorHAnsi"/>
          <w:sz w:val="18"/>
          <w:szCs w:val="18"/>
        </w:rPr>
        <w:t xml:space="preserve"> pre produkciu ŠRV</w:t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ab/>
        <w:t>2 000 000,00 EUR</w:t>
      </w:r>
    </w:p>
    <w:p w14:paraId="3A42AE9A" w14:textId="2E530F3F" w:rsidR="00B06C9D" w:rsidRPr="00D20F89" w:rsidRDefault="00B06C9D" w:rsidP="00B06C9D">
      <w:pPr>
        <w:tabs>
          <w:tab w:val="left" w:pos="289"/>
        </w:tabs>
        <w:suppressAutoHyphens/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D20F89">
        <w:rPr>
          <w:rFonts w:asciiTheme="minorHAnsi" w:hAnsiTheme="minorHAnsi"/>
          <w:b/>
          <w:sz w:val="18"/>
          <w:szCs w:val="18"/>
        </w:rPr>
        <w:t>Navrhované alokácie: indikatívne 159 mil. Eur, z toho 35,4 mil. zo zdrojov EURI.</w:t>
      </w:r>
    </w:p>
    <w:p w14:paraId="4DEAE084" w14:textId="70511FD3" w:rsidR="000F4FA7" w:rsidRPr="00D20F89" w:rsidRDefault="000F4FA7" w:rsidP="00B06C9D">
      <w:pPr>
        <w:spacing w:line="276" w:lineRule="auto"/>
        <w:rPr>
          <w:sz w:val="18"/>
          <w:szCs w:val="18"/>
        </w:rPr>
      </w:pPr>
    </w:p>
    <w:p w14:paraId="4AF32857" w14:textId="77777777" w:rsidR="00D20F89" w:rsidRPr="00D20F89" w:rsidRDefault="00D20F89" w:rsidP="00D20F89">
      <w:pPr>
        <w:tabs>
          <w:tab w:val="left" w:pos="289"/>
        </w:tabs>
        <w:suppressAutoHyphens/>
        <w:spacing w:line="280" w:lineRule="exact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20F89">
        <w:rPr>
          <w:rFonts w:asciiTheme="minorHAnsi" w:hAnsiTheme="minorHAnsi"/>
          <w:sz w:val="18"/>
          <w:szCs w:val="18"/>
        </w:rPr>
        <w:t>V prípade oblastí: ŠRV; ŽV</w:t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 xml:space="preserve">; Skladovacie kapacity </w:t>
      </w:r>
      <w:r w:rsidRPr="00D20F89">
        <w:rPr>
          <w:rFonts w:asciiTheme="minorHAnsi" w:hAnsiTheme="minorHAnsi"/>
          <w:sz w:val="18"/>
          <w:szCs w:val="18"/>
        </w:rPr>
        <w:t xml:space="preserve">pre produkciu ŠRV </w:t>
      </w:r>
      <w:r w:rsidRPr="00D20F89">
        <w:rPr>
          <w:rFonts w:ascii="Calibri" w:eastAsia="Calibri" w:hAnsi="Calibri" w:cs="Calibri"/>
          <w:sz w:val="18"/>
          <w:szCs w:val="18"/>
          <w:lang w:eastAsia="en-US"/>
        </w:rPr>
        <w:t>je obmedzenie na max. výšku oprávnených výdavkov nasledovné: podiel aktív podniku k celkovým oprávneným výdavkom všetkých podaných ŽoNFP na výzvy podopatrenia 4.1 je väčší alebo rovný 2.</w:t>
      </w:r>
    </w:p>
    <w:p w14:paraId="733ECAB3" w14:textId="77777777" w:rsidR="00D20F89" w:rsidRPr="00D20F89" w:rsidRDefault="00D20F89" w:rsidP="00B06C9D">
      <w:pPr>
        <w:spacing w:line="276" w:lineRule="auto"/>
        <w:rPr>
          <w:sz w:val="18"/>
          <w:szCs w:val="18"/>
        </w:rPr>
      </w:pPr>
    </w:p>
    <w:p w14:paraId="14E0B2BD" w14:textId="77777777" w:rsidR="00B06C9D" w:rsidRPr="00D20F89" w:rsidRDefault="00B06C9D" w:rsidP="00B06C9D">
      <w:pPr>
        <w:tabs>
          <w:tab w:val="left" w:pos="289"/>
        </w:tabs>
        <w:suppressAutoHyphens/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D20F89">
        <w:rPr>
          <w:rFonts w:asciiTheme="minorHAnsi" w:hAnsiTheme="minorHAnsi"/>
          <w:b/>
          <w:sz w:val="18"/>
          <w:szCs w:val="18"/>
        </w:rPr>
        <w:t xml:space="preserve">Intenzita </w:t>
      </w:r>
      <w:r w:rsidRPr="00D20F89">
        <w:rPr>
          <w:rFonts w:asciiTheme="minorHAnsi" w:hAnsiTheme="minorHAnsi"/>
          <w:b/>
          <w:bCs/>
          <w:sz w:val="18"/>
          <w:szCs w:val="18"/>
        </w:rPr>
        <w:t xml:space="preserve">podpory (výška podpory): </w:t>
      </w:r>
    </w:p>
    <w:p w14:paraId="26A195A8" w14:textId="061A4943" w:rsidR="00B06C9D" w:rsidRPr="00D20F89" w:rsidRDefault="00B06C9D" w:rsidP="00B06C9D">
      <w:pPr>
        <w:pStyle w:val="Listaszerbekezds"/>
        <w:numPr>
          <w:ilvl w:val="0"/>
          <w:numId w:val="2"/>
        </w:numPr>
        <w:tabs>
          <w:tab w:val="left" w:pos="289"/>
        </w:tabs>
        <w:spacing w:line="276" w:lineRule="auto"/>
        <w:ind w:left="709"/>
        <w:jc w:val="both"/>
        <w:rPr>
          <w:rFonts w:asciiTheme="minorHAnsi" w:hAnsiTheme="minorHAnsi"/>
          <w:bCs/>
          <w:sz w:val="18"/>
          <w:szCs w:val="18"/>
        </w:rPr>
      </w:pPr>
      <w:r w:rsidRPr="00D20F89">
        <w:rPr>
          <w:rFonts w:asciiTheme="minorHAnsi" w:hAnsiTheme="minorHAnsi"/>
          <w:bCs/>
          <w:sz w:val="18"/>
          <w:szCs w:val="18"/>
        </w:rPr>
        <w:t xml:space="preserve">Základná: V prípade menej rozvinutých regiónov 50% z celkových oprávnených výdavkov v súlade </w:t>
      </w:r>
      <w:r w:rsidRPr="00D20F89">
        <w:rPr>
          <w:rFonts w:asciiTheme="minorHAnsi" w:hAnsiTheme="minorHAnsi"/>
          <w:sz w:val="18"/>
          <w:szCs w:val="18"/>
        </w:rPr>
        <w:t xml:space="preserve">s maximálnym limitom určeným v tejto výzve. </w:t>
      </w:r>
      <w:r w:rsidRPr="00D20F89">
        <w:rPr>
          <w:rFonts w:asciiTheme="minorHAnsi" w:hAnsiTheme="minorHAnsi"/>
          <w:bCs/>
          <w:sz w:val="18"/>
          <w:szCs w:val="18"/>
        </w:rPr>
        <w:t>V prípade ostatných oblastí 40% z celkových oprávnených výdavkov v súlade s maximálnym limitom určeným v tejto výzve.</w:t>
      </w:r>
    </w:p>
    <w:p w14:paraId="1FF70448" w14:textId="77777777" w:rsidR="00B06C9D" w:rsidRPr="00D20F89" w:rsidRDefault="00B06C9D" w:rsidP="00B06C9D">
      <w:pPr>
        <w:pStyle w:val="Listaszerbekezds"/>
        <w:numPr>
          <w:ilvl w:val="0"/>
          <w:numId w:val="2"/>
        </w:numPr>
        <w:tabs>
          <w:tab w:val="left" w:pos="289"/>
        </w:tabs>
        <w:spacing w:line="276" w:lineRule="auto"/>
        <w:jc w:val="both"/>
        <w:rPr>
          <w:rFonts w:asciiTheme="minorHAnsi" w:hAnsiTheme="minorHAnsi"/>
          <w:bCs/>
          <w:sz w:val="18"/>
          <w:szCs w:val="18"/>
        </w:rPr>
      </w:pPr>
      <w:r w:rsidRPr="00D20F89">
        <w:rPr>
          <w:rFonts w:asciiTheme="minorHAnsi" w:hAnsiTheme="minorHAnsi"/>
          <w:bCs/>
          <w:sz w:val="18"/>
          <w:szCs w:val="18"/>
        </w:rPr>
        <w:t>Uvedená výška podpory sa zvyšuje o + 20% v týchto prípadoch:</w:t>
      </w:r>
    </w:p>
    <w:p w14:paraId="626C051D" w14:textId="51DB090D" w:rsidR="00B06C9D" w:rsidRPr="00D20F89" w:rsidRDefault="00B06C9D" w:rsidP="00B06C9D">
      <w:pPr>
        <w:pStyle w:val="Listaszerbekezds"/>
        <w:numPr>
          <w:ilvl w:val="0"/>
          <w:numId w:val="1"/>
        </w:numPr>
        <w:tabs>
          <w:tab w:val="left" w:pos="289"/>
        </w:tabs>
        <w:suppressAutoHyphens/>
        <w:spacing w:line="276" w:lineRule="auto"/>
        <w:ind w:left="993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D20F89">
        <w:rPr>
          <w:rFonts w:asciiTheme="minorHAnsi" w:hAnsiTheme="minorHAnsi"/>
          <w:bCs/>
          <w:sz w:val="18"/>
          <w:szCs w:val="18"/>
        </w:rPr>
        <w:t>mladých poľnohospodárov</w:t>
      </w:r>
    </w:p>
    <w:p w14:paraId="13917194" w14:textId="77777777" w:rsidR="00B06C9D" w:rsidRPr="00D20F89" w:rsidRDefault="00B06C9D" w:rsidP="00B06C9D">
      <w:pPr>
        <w:pStyle w:val="Listaszerbekezds"/>
        <w:numPr>
          <w:ilvl w:val="0"/>
          <w:numId w:val="1"/>
        </w:numPr>
        <w:tabs>
          <w:tab w:val="left" w:pos="289"/>
        </w:tabs>
        <w:suppressAutoHyphens/>
        <w:spacing w:line="276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ak sa projekt týka ekologického poľnohospodárstva - ekologická výroba tvorí min. 50,01% výmery žiadateľa</w:t>
      </w:r>
    </w:p>
    <w:p w14:paraId="42EEDEDB" w14:textId="77C9CB84" w:rsidR="00B06C9D" w:rsidRPr="00D20F89" w:rsidRDefault="00B06C9D" w:rsidP="00B06C9D">
      <w:pPr>
        <w:pStyle w:val="Listaszerbekezds"/>
        <w:numPr>
          <w:ilvl w:val="0"/>
          <w:numId w:val="1"/>
        </w:numPr>
        <w:tabs>
          <w:tab w:val="left" w:pos="289"/>
        </w:tabs>
        <w:suppressAutoHyphens/>
        <w:spacing w:line="276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ak sa projekt týka poľnohospodárskej výroby v rámci záväzku Agroenvironmentálno-klimatického opatrenia PRV - min. 50,01 % obhospodarovanej plochy ornej pôdy a trvalých kultúr</w:t>
      </w:r>
    </w:p>
    <w:p w14:paraId="08902C5E" w14:textId="69DDD409" w:rsidR="00B06C9D" w:rsidRPr="00D20F89" w:rsidRDefault="00B06C9D" w:rsidP="00B06C9D">
      <w:pPr>
        <w:pStyle w:val="Listaszerbekezds"/>
        <w:numPr>
          <w:ilvl w:val="0"/>
          <w:numId w:val="2"/>
        </w:numPr>
        <w:tabs>
          <w:tab w:val="left" w:pos="289"/>
        </w:tabs>
        <w:spacing w:line="276" w:lineRule="auto"/>
        <w:jc w:val="both"/>
        <w:rPr>
          <w:sz w:val="18"/>
          <w:szCs w:val="18"/>
        </w:rPr>
      </w:pPr>
      <w:r w:rsidRPr="00D20F89">
        <w:rPr>
          <w:rFonts w:asciiTheme="minorHAnsi" w:hAnsiTheme="minorHAnsi"/>
          <w:bCs/>
          <w:sz w:val="18"/>
          <w:szCs w:val="18"/>
        </w:rPr>
        <w:t xml:space="preserve">Osobitne sa základná miera podpory zvyšuje o 35 % až do max. </w:t>
      </w:r>
      <w:r w:rsidRPr="00D20F89">
        <w:rPr>
          <w:rFonts w:asciiTheme="minorHAnsi" w:hAnsiTheme="minorHAnsi"/>
          <w:b/>
          <w:sz w:val="18"/>
          <w:szCs w:val="18"/>
        </w:rPr>
        <w:t>75%</w:t>
      </w:r>
      <w:r w:rsidRPr="00D20F89">
        <w:rPr>
          <w:rFonts w:asciiTheme="minorHAnsi" w:hAnsiTheme="minorHAnsi"/>
          <w:bCs/>
          <w:sz w:val="18"/>
          <w:szCs w:val="18"/>
        </w:rPr>
        <w:t xml:space="preserve"> v prípade projektov výhradne zameraných na investície prispievajúce k odolnému, udržateľnému a digitálnemu oživeniu hospodárstva, ktoré sú financované zo zdrojov EURI. </w:t>
      </w:r>
    </w:p>
    <w:p w14:paraId="135A59BC" w14:textId="77777777" w:rsidR="00D20F89" w:rsidRDefault="00D20F89" w:rsidP="00B06C9D">
      <w:pPr>
        <w:pStyle w:val="Cmsor2"/>
        <w:spacing w:before="0" w:line="276" w:lineRule="auto"/>
        <w:jc w:val="both"/>
        <w:rPr>
          <w:sz w:val="18"/>
          <w:szCs w:val="18"/>
        </w:rPr>
      </w:pPr>
    </w:p>
    <w:p w14:paraId="11092880" w14:textId="7EAECF79" w:rsidR="00B06C9D" w:rsidRPr="00D20F89" w:rsidRDefault="00B06C9D" w:rsidP="00B06C9D">
      <w:pPr>
        <w:pStyle w:val="Cmsor2"/>
        <w:spacing w:before="0" w:line="276" w:lineRule="auto"/>
        <w:jc w:val="both"/>
        <w:rPr>
          <w:sz w:val="18"/>
          <w:szCs w:val="18"/>
        </w:rPr>
      </w:pPr>
      <w:r w:rsidRPr="00D20F89">
        <w:rPr>
          <w:sz w:val="18"/>
          <w:szCs w:val="18"/>
        </w:rPr>
        <w:t xml:space="preserve">Oprávnenosť žiadateľa (prijímateľa) </w:t>
      </w:r>
    </w:p>
    <w:p w14:paraId="276360FC" w14:textId="1137D3E5" w:rsidR="00B06C9D" w:rsidRPr="00D20F89" w:rsidRDefault="00B06C9D" w:rsidP="00B06C9D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bookmarkStart w:id="0" w:name="_Všeobecné_podmienky_oprávnenosti"/>
      <w:bookmarkEnd w:id="0"/>
      <w:r w:rsidRPr="00D20F89">
        <w:rPr>
          <w:rFonts w:asciiTheme="minorHAnsi" w:hAnsiTheme="minorHAnsi"/>
          <w:sz w:val="18"/>
          <w:szCs w:val="18"/>
        </w:rPr>
        <w:t>Prijímateľom pomoci sú fyzické a právnické osoby podnikajúce v poľnohospodárskej prvovýrobe, alebo organizácie výrobcov združujúce pestovateľov plodín špecializovanej rastlinnej výroby.</w:t>
      </w:r>
    </w:p>
    <w:p w14:paraId="55FEEA65" w14:textId="77777777" w:rsidR="00D20F89" w:rsidRDefault="00D20F89" w:rsidP="00B06C9D">
      <w:pPr>
        <w:pStyle w:val="Cmsor2"/>
        <w:spacing w:before="0" w:line="276" w:lineRule="auto"/>
        <w:jc w:val="both"/>
        <w:rPr>
          <w:sz w:val="18"/>
          <w:szCs w:val="18"/>
        </w:rPr>
      </w:pPr>
    </w:p>
    <w:p w14:paraId="30FD0DF3" w14:textId="0C312FAE" w:rsidR="00B06C9D" w:rsidRPr="00D20F89" w:rsidRDefault="00B06C9D" w:rsidP="00B06C9D">
      <w:pPr>
        <w:pStyle w:val="Cmsor2"/>
        <w:spacing w:before="0" w:line="276" w:lineRule="auto"/>
        <w:jc w:val="both"/>
        <w:rPr>
          <w:sz w:val="18"/>
          <w:szCs w:val="18"/>
        </w:rPr>
      </w:pPr>
      <w:r w:rsidRPr="00D20F89">
        <w:rPr>
          <w:sz w:val="18"/>
          <w:szCs w:val="18"/>
        </w:rPr>
        <w:t>Oprávnenosť aktivít realizácie projektu</w:t>
      </w:r>
    </w:p>
    <w:p w14:paraId="770CF2A0" w14:textId="7777777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" w:name="bod221"/>
      <w:bookmarkStart w:id="2" w:name="_Oprávnené_náklady_pre"/>
      <w:bookmarkStart w:id="3" w:name="_Neoprávnené_náklady"/>
      <w:bookmarkEnd w:id="1"/>
      <w:bookmarkEnd w:id="2"/>
      <w:bookmarkEnd w:id="3"/>
      <w:r w:rsidRPr="00D20F89">
        <w:rPr>
          <w:rFonts w:asciiTheme="minorHAnsi" w:hAnsiTheme="minorHAnsi"/>
          <w:sz w:val="18"/>
          <w:szCs w:val="18"/>
        </w:rPr>
        <w:t>investície do zvýšenia produkcie alebo jej kvality v ŽV a ŠRV vrátane investícií do geotermálnych vrtov s tým súvisiacich investícií a vrátane investícií do obstarania technického a technologického vybavenia ŽV a ŠRV vrátane strojov a náradia;</w:t>
      </w:r>
    </w:p>
    <w:p w14:paraId="46C4CBAD" w14:textId="02930CE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investície do výstavby, rekonštrukcie a modernizácie skladovacích kapacít a pozberovej úpravy vrátane sušiarní s energetickým využitím biomasy na výrobu tepla s max. tepelným výkonom do 2 MWt. Súčasťou výstavby skladu môže byť výstavba bezprostredných vonkajších plôch, oplotenia a príjazdových komunikácii týkajúcich sa skladu, ktorý je predmetom projektu. Súčasťou investície do skladu môže byť aj prípadné riešenie energetického hospodárstva bezprostredne súvisiaceho s prevádzkou skladu. Maximálnym tepelný výkon investície na budovanie, rekonštrukciu a modernizáciu zariadení na energetické využívanie biomasy na výrobu tepla a vykurovanie je do 500 kWt.</w:t>
      </w:r>
      <w:r w:rsidRPr="00D20F89">
        <w:rPr>
          <w:sz w:val="18"/>
          <w:szCs w:val="18"/>
        </w:rPr>
        <w:t xml:space="preserve"> </w:t>
      </w:r>
      <w:r w:rsidRPr="00D20F89">
        <w:rPr>
          <w:rFonts w:asciiTheme="minorHAnsi" w:hAnsiTheme="minorHAnsi"/>
          <w:sz w:val="18"/>
          <w:szCs w:val="18"/>
        </w:rPr>
        <w:t>Súčasťou investície do skladovacích kapacít môže byť aj ich vybavenie manipulačnou a pozberovou technológiou.</w:t>
      </w:r>
    </w:p>
    <w:p w14:paraId="06C686E4" w14:textId="5E62BB41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investície v súvislosti s využívaním závlah, realizáciou investícií do existujúcich a nových závlahových systémov s cieľom ich výstavby, rekonštrukcie, modernizácie a efektívnejšieho nakladania so závlahovou vodou a energiou obmedzením ich strát, všetko s cieľom zvýšiť produkciu a jej kvalitu</w:t>
      </w:r>
    </w:p>
    <w:p w14:paraId="0931808B" w14:textId="7777777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investície spojené so zavádzaním inovatívnych technológii v súvislosti s variabilnou aplikáciou organických a priemyselných hnojív do pôdy a ostatných substrátov s cieľom zlepšenia kvalitatívnych vlastností a úrodnosti pôdy a ochrany pred jej degradáciou;</w:t>
      </w:r>
    </w:p>
    <w:p w14:paraId="4B1D1250" w14:textId="7777777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investície do zlepšenia odbytu (v rozsahu činností nižšie);</w:t>
      </w:r>
    </w:p>
    <w:p w14:paraId="35545B48" w14:textId="7777777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D20F89">
        <w:rPr>
          <w:rFonts w:asciiTheme="minorHAnsi" w:hAnsiTheme="minorHAnsi"/>
          <w:sz w:val="18"/>
          <w:szCs w:val="18"/>
        </w:rPr>
        <w:t>investície do zníženia záťaže na životné prostredie vrátane technológii v súvislosti s rastom produkcie alebo rastom kvality produkcie;</w:t>
      </w:r>
    </w:p>
    <w:p w14:paraId="003EB94B" w14:textId="77777777" w:rsidR="00B06C9D" w:rsidRPr="00D20F89" w:rsidRDefault="00B06C9D" w:rsidP="00B06C9D">
      <w:pPr>
        <w:pStyle w:val="Listaszerbekezds"/>
        <w:numPr>
          <w:ilvl w:val="1"/>
          <w:numId w:val="3"/>
        </w:numPr>
        <w:suppressAutoHyphens/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bCs/>
          <w:sz w:val="18"/>
          <w:szCs w:val="18"/>
          <w:lang w:eastAsia="zh-CN"/>
        </w:rPr>
      </w:pPr>
      <w:r w:rsidRPr="00D20F89">
        <w:rPr>
          <w:rFonts w:asciiTheme="minorHAnsi" w:hAnsiTheme="minorHAnsi" w:cstheme="minorHAnsi"/>
          <w:bCs/>
          <w:sz w:val="18"/>
          <w:szCs w:val="18"/>
        </w:rPr>
        <w:t xml:space="preserve">V rámci projektov zameraných na rastlinnú výrobu sú oprávnené len projekty a výdavky súvisiace s pestovaním plodín na ornej pôde, trvalých kultúr a na zakrytých plochách uvedených v Zozname plodín ŠRV a citlivých plodín na ornej pôde, ktorý tvorí </w:t>
      </w:r>
      <w:r w:rsidRPr="00D20F89">
        <w:rPr>
          <w:rFonts w:asciiTheme="minorHAnsi" w:hAnsiTheme="minorHAnsi" w:cstheme="minorHAnsi"/>
          <w:sz w:val="18"/>
          <w:szCs w:val="18"/>
        </w:rPr>
        <w:t>prílohu</w:t>
      </w:r>
      <w:r w:rsidRPr="00D20F89">
        <w:rPr>
          <w:rFonts w:asciiTheme="minorHAnsi" w:hAnsiTheme="minorHAnsi" w:cstheme="minorHAnsi"/>
          <w:bCs/>
          <w:sz w:val="18"/>
          <w:szCs w:val="18"/>
        </w:rPr>
        <w:t xml:space="preserve"> tejto výzvy. </w:t>
      </w:r>
    </w:p>
    <w:p w14:paraId="3070AB99" w14:textId="77777777" w:rsidR="00B06C9D" w:rsidRPr="00D20F89" w:rsidRDefault="00B06C9D" w:rsidP="00B06C9D">
      <w:pPr>
        <w:tabs>
          <w:tab w:val="left" w:pos="289"/>
        </w:tabs>
        <w:spacing w:line="276" w:lineRule="auto"/>
        <w:jc w:val="both"/>
        <w:rPr>
          <w:sz w:val="18"/>
          <w:szCs w:val="18"/>
        </w:rPr>
      </w:pPr>
    </w:p>
    <w:sectPr w:rsidR="00B06C9D" w:rsidRPr="00D20F89" w:rsidSect="00B06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7790" w14:textId="77777777" w:rsidR="00151361" w:rsidRDefault="00151361" w:rsidP="00B06C9D">
      <w:r>
        <w:separator/>
      </w:r>
    </w:p>
  </w:endnote>
  <w:endnote w:type="continuationSeparator" w:id="0">
    <w:p w14:paraId="1E229DF5" w14:textId="77777777" w:rsidR="00151361" w:rsidRDefault="00151361" w:rsidP="00B0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E515" w14:textId="77777777" w:rsidR="00151361" w:rsidRDefault="00151361" w:rsidP="00B06C9D">
      <w:r>
        <w:separator/>
      </w:r>
    </w:p>
  </w:footnote>
  <w:footnote w:type="continuationSeparator" w:id="0">
    <w:p w14:paraId="0594B45D" w14:textId="77777777" w:rsidR="00151361" w:rsidRDefault="00151361" w:rsidP="00B0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18A"/>
    <w:multiLevelType w:val="multilevel"/>
    <w:tmpl w:val="6AE8C65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A081B47"/>
    <w:multiLevelType w:val="hybridMultilevel"/>
    <w:tmpl w:val="5736252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D373589"/>
    <w:multiLevelType w:val="hybridMultilevel"/>
    <w:tmpl w:val="BCF4578E"/>
    <w:lvl w:ilvl="0" w:tplc="A738B4B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79"/>
    <w:rsid w:val="000F4FA7"/>
    <w:rsid w:val="00151361"/>
    <w:rsid w:val="002A69A5"/>
    <w:rsid w:val="00401E7F"/>
    <w:rsid w:val="009A0573"/>
    <w:rsid w:val="00B06C9D"/>
    <w:rsid w:val="00B30179"/>
    <w:rsid w:val="00D20F89"/>
    <w:rsid w:val="00DF205E"/>
    <w:rsid w:val="00E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8B9E"/>
  <w15:chartTrackingRefBased/>
  <w15:docId w15:val="{04BC150C-402D-47EE-A9F4-F4C1B4C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06C9D"/>
    <w:pPr>
      <w:keepNext/>
      <w:keepLines/>
      <w:suppressAutoHyphens/>
      <w:spacing w:before="40"/>
      <w:outlineLvl w:val="1"/>
    </w:pPr>
    <w:rPr>
      <w:rFonts w:ascii="Calibri" w:eastAsiaTheme="majorEastAsia" w:hAnsi="Calibri" w:cstheme="majorBidi"/>
      <w:b/>
      <w:sz w:val="22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06C9D"/>
    <w:rPr>
      <w:rFonts w:ascii="Calibri" w:eastAsiaTheme="majorEastAsia" w:hAnsi="Calibri" w:cstheme="majorBidi"/>
      <w:b/>
      <w:szCs w:val="26"/>
      <w:lang w:val="sk-SK" w:eastAsia="ar-SA"/>
    </w:rPr>
  </w:style>
  <w:style w:type="character" w:customStyle="1" w:styleId="ZarkazkladnhotextuChar">
    <w:name w:val="Zarážka základného textu Char"/>
    <w:basedOn w:val="Bekezdsalapbettpusa"/>
    <w:link w:val="TextBodyIndent"/>
    <w:qFormat/>
    <w:rsid w:val="00B06C9D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"/>
    <w:link w:val="ZarkazkladnhotextuChar"/>
    <w:rsid w:val="00B06C9D"/>
    <w:pPr>
      <w:suppressAutoHyphens/>
      <w:jc w:val="both"/>
    </w:pPr>
    <w:rPr>
      <w:rFonts w:eastAsia="Arial Unicode MS"/>
      <w:sz w:val="22"/>
      <w:szCs w:val="22"/>
      <w:lang w:val="hu-HU" w:eastAsia="ar-SA"/>
    </w:rPr>
  </w:style>
  <w:style w:type="character" w:styleId="Lbjegyzet-hivatkozs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B06C9D"/>
    <w:rPr>
      <w:vertAlign w:val="superscript"/>
    </w:rPr>
  </w:style>
  <w:style w:type="character" w:customStyle="1" w:styleId="LbjegyzetszvegChar">
    <w:name w:val="Lábjegyzetszöveg Char"/>
    <w:aliases w:val="Text poznámky pod čiarou 007 Char,Text pozn‡mky pod Źiarou 007 Char,Text pozn. pod Źarou Char Char,Schriftart: 8 pt Char,Text pozn. pod Źarou Char1 Char,Text pozn. pod Źarou Char2 Char Char,Text pozn. pod Źarou Char Char1 Char Char"/>
    <w:link w:val="Lbjegyzetszveg"/>
    <w:uiPriority w:val="99"/>
    <w:qFormat/>
    <w:rsid w:val="00B06C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"/>
    <w:link w:val="LbjegyzetszvegChar"/>
    <w:uiPriority w:val="99"/>
    <w:qFormat/>
    <w:rsid w:val="00B06C9D"/>
    <w:pPr>
      <w:suppressAutoHyphens/>
    </w:pPr>
    <w:rPr>
      <w:sz w:val="20"/>
      <w:szCs w:val="20"/>
      <w:lang w:val="hu-HU"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B06C9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Char2">
    <w:name w:val="Char2"/>
    <w:basedOn w:val="Norml"/>
    <w:link w:val="Lbjegyzet-hivatkozs"/>
    <w:uiPriority w:val="99"/>
    <w:qFormat/>
    <w:rsid w:val="00B06C9D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hu-HU" w:eastAsia="en-US"/>
    </w:rPr>
  </w:style>
  <w:style w:type="paragraph" w:styleId="Listaszerbekezds">
    <w:name w:val="List Paragraph"/>
    <w:aliases w:val="body,Odsek zoznamu2,Farebný zoznam – zvýraznenie 11"/>
    <w:basedOn w:val="Norml"/>
    <w:link w:val="ListaszerbekezdsChar"/>
    <w:uiPriority w:val="34"/>
    <w:qFormat/>
    <w:rsid w:val="00B06C9D"/>
    <w:pPr>
      <w:ind w:left="720"/>
      <w:contextualSpacing/>
    </w:pPr>
  </w:style>
  <w:style w:type="character" w:customStyle="1" w:styleId="ListaszerbekezdsChar">
    <w:name w:val="Listaszerű bekezdés Char"/>
    <w:aliases w:val="body Char,Odsek zoznamu2 Char,Farebný zoznam – zvýraznenie 11 Char"/>
    <w:link w:val="Listaszerbekezds"/>
    <w:uiPriority w:val="34"/>
    <w:qFormat/>
    <w:locked/>
    <w:rsid w:val="00B06C9D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KN.PI</dc:creator>
  <cp:keywords/>
  <dc:description/>
  <cp:lastModifiedBy>KN.VM</cp:lastModifiedBy>
  <cp:revision>2</cp:revision>
  <dcterms:created xsi:type="dcterms:W3CDTF">2021-07-21T12:04:00Z</dcterms:created>
  <dcterms:modified xsi:type="dcterms:W3CDTF">2021-07-21T12:04:00Z</dcterms:modified>
</cp:coreProperties>
</file>